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F4CB" w14:textId="77777777" w:rsidR="001A27F8" w:rsidRDefault="001A27F8" w:rsidP="004F5988">
      <w:pPr>
        <w:rPr>
          <w:b/>
          <w:bCs/>
          <w:sz w:val="26"/>
          <w:szCs w:val="26"/>
          <w:lang w:val="en-US"/>
        </w:rPr>
      </w:pPr>
    </w:p>
    <w:p w14:paraId="613463B5" w14:textId="564E0DA6" w:rsidR="001A27F8" w:rsidRPr="00071104" w:rsidRDefault="001A27F8" w:rsidP="004F5988">
      <w:pPr>
        <w:rPr>
          <w:b/>
          <w:bCs/>
          <w:color w:val="C7047E"/>
          <w:sz w:val="26"/>
          <w:szCs w:val="26"/>
          <w:lang w:val="en-US"/>
        </w:rPr>
      </w:pPr>
      <w:r w:rsidRPr="00071104">
        <w:rPr>
          <w:b/>
          <w:bCs/>
          <w:color w:val="C7047E"/>
          <w:sz w:val="26"/>
          <w:szCs w:val="26"/>
          <w:lang w:val="en-US"/>
        </w:rPr>
        <w:t>Climate Emergency: Funders Insight Meeting</w:t>
      </w:r>
    </w:p>
    <w:p w14:paraId="0B6E8C79" w14:textId="3090ECCA" w:rsidR="001A27F8" w:rsidRDefault="001A27F8" w:rsidP="004F5988">
      <w:pPr>
        <w:rPr>
          <w:sz w:val="26"/>
          <w:szCs w:val="26"/>
          <w:lang w:val="en-US"/>
        </w:rPr>
      </w:pPr>
      <w:r w:rsidRPr="001A27F8">
        <w:rPr>
          <w:sz w:val="26"/>
          <w:szCs w:val="26"/>
          <w:lang w:val="en-US"/>
        </w:rPr>
        <w:t xml:space="preserve">24 November 2021, 10am – 11am </w:t>
      </w:r>
    </w:p>
    <w:p w14:paraId="3237AED4" w14:textId="49BDB6FA" w:rsidR="004F5988" w:rsidRPr="001A27F8" w:rsidRDefault="00A51C79" w:rsidP="004F5988">
      <w:pPr>
        <w:rPr>
          <w:sz w:val="26"/>
          <w:szCs w:val="26"/>
          <w:lang w:val="en-US"/>
        </w:rPr>
      </w:pPr>
      <w:hyperlink r:id="rId11" w:history="1">
        <w:r w:rsidR="004F5988" w:rsidRPr="00BD6E74">
          <w:rPr>
            <w:rStyle w:val="Hyperlink"/>
            <w:sz w:val="26"/>
            <w:szCs w:val="26"/>
            <w:lang w:val="en-US"/>
          </w:rPr>
          <w:t>Via zoom</w:t>
        </w:r>
      </w:hyperlink>
      <w:r w:rsidR="004F5988">
        <w:rPr>
          <w:sz w:val="26"/>
          <w:szCs w:val="26"/>
          <w:lang w:val="en-US"/>
        </w:rPr>
        <w:t xml:space="preserve"> </w:t>
      </w:r>
    </w:p>
    <w:p w14:paraId="570CDF5A" w14:textId="32679745" w:rsidR="00A969DE" w:rsidRDefault="00A969DE" w:rsidP="004F5988"/>
    <w:p w14:paraId="42976A16" w14:textId="77777777" w:rsidR="001A27F8" w:rsidRPr="00071104" w:rsidRDefault="001A27F8" w:rsidP="004F5988">
      <w:pPr>
        <w:rPr>
          <w:b/>
          <w:bCs/>
          <w:color w:val="C7047E"/>
          <w:sz w:val="24"/>
          <w:szCs w:val="24"/>
          <w:lang w:val="en-US"/>
        </w:rPr>
      </w:pPr>
      <w:r w:rsidRPr="00071104">
        <w:rPr>
          <w:b/>
          <w:bCs/>
          <w:color w:val="C7047E"/>
          <w:sz w:val="24"/>
          <w:szCs w:val="24"/>
          <w:lang w:val="en-US"/>
        </w:rPr>
        <w:t xml:space="preserve">How is and will London be impacted by climate change? </w:t>
      </w:r>
    </w:p>
    <w:p w14:paraId="1A007A72" w14:textId="1A413158" w:rsidR="001A27F8" w:rsidRPr="001A27F8" w:rsidRDefault="001A27F8" w:rsidP="00F109C9">
      <w:pPr>
        <w:jc w:val="both"/>
      </w:pPr>
      <w:r>
        <w:rPr>
          <w:lang w:val="en-US"/>
        </w:rPr>
        <w:t xml:space="preserve">From burning summers in 2003 to flash floods earlier this year, London is already feeling the impacts of climate change. </w:t>
      </w:r>
      <w:r w:rsidRPr="001A27F8">
        <w:t> The Government’s latest UK Climate Change Projections</w:t>
      </w:r>
      <w:r w:rsidR="001F3DF7">
        <w:rPr>
          <w:rStyle w:val="FootnoteReference"/>
        </w:rPr>
        <w:footnoteReference w:id="2"/>
      </w:r>
      <w:r w:rsidRPr="001A27F8">
        <w:t xml:space="preserve"> suggest that by the 2050s, London could see an increase in mean summer temperature of 2.7 degrees, an increase in mean winter rainfall of 15</w:t>
      </w:r>
      <w:r>
        <w:t xml:space="preserve">% </w:t>
      </w:r>
      <w:r w:rsidRPr="001A27F8">
        <w:t>and a decrease in mean summer rainfall of 18</w:t>
      </w:r>
      <w:r>
        <w:t>%</w:t>
      </w:r>
      <w:r w:rsidR="001F3DF7">
        <w:t>.</w:t>
      </w:r>
    </w:p>
    <w:p w14:paraId="0809B8C9" w14:textId="16EAB1C3" w:rsidR="001A27F8" w:rsidRPr="00071104" w:rsidRDefault="001A27F8" w:rsidP="00F109C9">
      <w:pPr>
        <w:jc w:val="both"/>
      </w:pPr>
      <w:r>
        <w:t xml:space="preserve">London Mayor Sadiq Khan said, 'London is at a crossroads. We either take bold action now or face the consequences - with catastrophic impacts on our environment, the air we breathe and the climate.' </w:t>
      </w:r>
    </w:p>
    <w:p w14:paraId="19E63537" w14:textId="4DF5F7EC" w:rsidR="001A27F8" w:rsidRDefault="001A27F8" w:rsidP="00F109C9">
      <w:pPr>
        <w:jc w:val="both"/>
      </w:pPr>
      <w:r w:rsidRPr="001A27F8">
        <w:t xml:space="preserve">New Climate Vulnerability Mapping produced by </w:t>
      </w:r>
      <w:r w:rsidR="00071104">
        <w:t xml:space="preserve">members </w:t>
      </w:r>
      <w:r w:rsidRPr="001A27F8">
        <w:t>City Hall and Bloomberg Associates</w:t>
      </w:r>
      <w:r w:rsidR="00071104">
        <w:rPr>
          <w:rStyle w:val="FootnoteReference"/>
        </w:rPr>
        <w:footnoteReference w:id="3"/>
      </w:r>
      <w:r w:rsidRPr="001A27F8">
        <w:t xml:space="preserve"> shows London boroughs most at risk from flooding and overheating over the next decade</w:t>
      </w:r>
      <w:r>
        <w:t>.</w:t>
      </w:r>
    </w:p>
    <w:p w14:paraId="6C411352" w14:textId="77777777" w:rsidR="001A27F8" w:rsidRPr="001A27F8" w:rsidRDefault="001A27F8" w:rsidP="00F109C9">
      <w:pPr>
        <w:jc w:val="both"/>
      </w:pPr>
      <w:r w:rsidRPr="001A27F8">
        <w:t>The boroughs at particularly high risk, meaning that the risk of both flooding and overheating are very high, putting lives and livelihoods at risk, are:</w:t>
      </w:r>
    </w:p>
    <w:p w14:paraId="178F2B01" w14:textId="77777777" w:rsidR="001A27F8" w:rsidRPr="001A27F8" w:rsidRDefault="001A27F8" w:rsidP="004F5988">
      <w:pPr>
        <w:pStyle w:val="NoSpacing"/>
        <w:numPr>
          <w:ilvl w:val="0"/>
          <w:numId w:val="3"/>
        </w:numPr>
      </w:pPr>
      <w:r w:rsidRPr="001A27F8">
        <w:t>Hackney</w:t>
      </w:r>
    </w:p>
    <w:p w14:paraId="6A71734B" w14:textId="77777777" w:rsidR="001A27F8" w:rsidRPr="001A27F8" w:rsidRDefault="001A27F8" w:rsidP="004F5988">
      <w:pPr>
        <w:pStyle w:val="NoSpacing"/>
        <w:numPr>
          <w:ilvl w:val="0"/>
          <w:numId w:val="3"/>
        </w:numPr>
      </w:pPr>
      <w:r w:rsidRPr="001A27F8">
        <w:t>Hammersmith and Fulham</w:t>
      </w:r>
    </w:p>
    <w:p w14:paraId="1D60EB5A" w14:textId="77777777" w:rsidR="001A27F8" w:rsidRPr="001A27F8" w:rsidRDefault="001A27F8" w:rsidP="004F5988">
      <w:pPr>
        <w:pStyle w:val="NoSpacing"/>
        <w:numPr>
          <w:ilvl w:val="0"/>
          <w:numId w:val="3"/>
        </w:numPr>
      </w:pPr>
      <w:r w:rsidRPr="001A27F8">
        <w:t>Islington</w:t>
      </w:r>
    </w:p>
    <w:p w14:paraId="2A318CC6" w14:textId="77777777" w:rsidR="001A27F8" w:rsidRPr="001A27F8" w:rsidRDefault="001A27F8" w:rsidP="004F5988">
      <w:pPr>
        <w:pStyle w:val="NoSpacing"/>
        <w:numPr>
          <w:ilvl w:val="0"/>
          <w:numId w:val="3"/>
        </w:numPr>
      </w:pPr>
      <w:r w:rsidRPr="001A27F8">
        <w:t>Brent</w:t>
      </w:r>
    </w:p>
    <w:p w14:paraId="49F260CB" w14:textId="77777777" w:rsidR="001A27F8" w:rsidRPr="001A27F8" w:rsidRDefault="001A27F8" w:rsidP="004F5988">
      <w:pPr>
        <w:pStyle w:val="NoSpacing"/>
        <w:numPr>
          <w:ilvl w:val="0"/>
          <w:numId w:val="3"/>
        </w:numPr>
      </w:pPr>
      <w:r w:rsidRPr="001A27F8">
        <w:t>Tower Hamlets</w:t>
      </w:r>
    </w:p>
    <w:p w14:paraId="727835EB" w14:textId="77777777" w:rsidR="001A27F8" w:rsidRPr="001A27F8" w:rsidRDefault="001A27F8" w:rsidP="004F5988">
      <w:pPr>
        <w:pStyle w:val="NoSpacing"/>
        <w:numPr>
          <w:ilvl w:val="0"/>
          <w:numId w:val="3"/>
        </w:numPr>
      </w:pPr>
      <w:r w:rsidRPr="001A27F8">
        <w:t>Newham</w:t>
      </w:r>
    </w:p>
    <w:p w14:paraId="7E256A7C" w14:textId="7B7DFCE8" w:rsidR="001A27F8" w:rsidRDefault="001A27F8" w:rsidP="004F5988">
      <w:pPr>
        <w:rPr>
          <w:lang w:val="en-US"/>
        </w:rPr>
      </w:pPr>
    </w:p>
    <w:p w14:paraId="6A034793" w14:textId="77777777" w:rsidR="001A27F8" w:rsidRPr="001A27F8" w:rsidRDefault="001A27F8" w:rsidP="00F109C9">
      <w:pPr>
        <w:jc w:val="both"/>
      </w:pPr>
      <w:r w:rsidRPr="001A27F8">
        <w:t>More generally, the Climate Vulnerability Mapping has identified that:</w:t>
      </w:r>
    </w:p>
    <w:p w14:paraId="1ADDB6E2" w14:textId="77777777" w:rsidR="001A27F8" w:rsidRPr="001A27F8" w:rsidRDefault="001A27F8" w:rsidP="00F109C9">
      <w:pPr>
        <w:numPr>
          <w:ilvl w:val="0"/>
          <w:numId w:val="4"/>
        </w:numPr>
        <w:jc w:val="both"/>
      </w:pPr>
      <w:r w:rsidRPr="001A27F8">
        <w:t>a quarter of London’s Tube Stations, and 1 in 10 of the rail network altogether, are at high risk of flooding in the future if extreme temperatures and flooding get worse.</w:t>
      </w:r>
    </w:p>
    <w:p w14:paraId="46BDC5D5" w14:textId="77777777" w:rsidR="001A27F8" w:rsidRPr="001A27F8" w:rsidRDefault="001A27F8" w:rsidP="00F109C9">
      <w:pPr>
        <w:numPr>
          <w:ilvl w:val="0"/>
          <w:numId w:val="4"/>
        </w:numPr>
        <w:jc w:val="both"/>
      </w:pPr>
      <w:r w:rsidRPr="001A27F8">
        <w:t>1 in 5 of our schools are either totally or partially at risk of flooding and nearly half of our hospitals.</w:t>
      </w:r>
    </w:p>
    <w:p w14:paraId="795B4C06" w14:textId="77777777" w:rsidR="001A27F8" w:rsidRPr="001A27F8" w:rsidRDefault="001A27F8" w:rsidP="00F109C9">
      <w:pPr>
        <w:numPr>
          <w:ilvl w:val="0"/>
          <w:numId w:val="4"/>
        </w:numPr>
        <w:jc w:val="both"/>
      </w:pPr>
      <w:r w:rsidRPr="001A27F8">
        <w:t>there are nearly 200,000 existing homes and workplaces in London that are at either high or medium risk of surface water flooding alone, leaving over a million Londoners at risk.</w:t>
      </w:r>
    </w:p>
    <w:p w14:paraId="2B5C3FED" w14:textId="77777777" w:rsidR="001A27F8" w:rsidRDefault="001A27F8" w:rsidP="004F5988"/>
    <w:p w14:paraId="22DE56D2" w14:textId="77777777" w:rsidR="00F109C9" w:rsidRPr="001A27F8" w:rsidRDefault="00F109C9" w:rsidP="004F5988"/>
    <w:p w14:paraId="3ED23085" w14:textId="77777777" w:rsidR="00F109C9" w:rsidRDefault="00F109C9" w:rsidP="004F5988">
      <w:pPr>
        <w:rPr>
          <w:lang w:val="en-US"/>
        </w:rPr>
      </w:pPr>
    </w:p>
    <w:p w14:paraId="45CDAFB3" w14:textId="23F666CB" w:rsidR="001A27F8" w:rsidRPr="0016367D" w:rsidRDefault="001A27F8" w:rsidP="004F5988">
      <w:pPr>
        <w:rPr>
          <w:b/>
          <w:bCs/>
          <w:color w:val="C7047E"/>
          <w:sz w:val="24"/>
          <w:szCs w:val="24"/>
          <w:lang w:val="en-US"/>
        </w:rPr>
      </w:pPr>
      <w:r w:rsidRPr="0016367D">
        <w:rPr>
          <w:b/>
          <w:bCs/>
          <w:color w:val="C7047E"/>
          <w:sz w:val="24"/>
          <w:szCs w:val="24"/>
          <w:lang w:val="en-US"/>
        </w:rPr>
        <w:t xml:space="preserve">Which of our members fund environmental work? </w:t>
      </w:r>
    </w:p>
    <w:p w14:paraId="049315BC" w14:textId="20CD2B8F" w:rsidR="001A27F8" w:rsidRDefault="00F109C9" w:rsidP="004F5988">
      <w:pPr>
        <w:rPr>
          <w:lang w:val="en-US"/>
        </w:rPr>
      </w:pPr>
      <w:r w:rsidRPr="00071104">
        <w:rPr>
          <w:noProof/>
        </w:rPr>
        <w:drawing>
          <wp:anchor distT="0" distB="0" distL="114300" distR="114300" simplePos="0" relativeHeight="251658240" behindDoc="0" locked="0" layoutInCell="1" allowOverlap="1" wp14:anchorId="3C5D0B2C" wp14:editId="777049FC">
            <wp:simplePos x="0" y="0"/>
            <wp:positionH relativeFrom="column">
              <wp:posOffset>-155887</wp:posOffset>
            </wp:positionH>
            <wp:positionV relativeFrom="paragraph">
              <wp:posOffset>404938</wp:posOffset>
            </wp:positionV>
            <wp:extent cx="5731510" cy="2268220"/>
            <wp:effectExtent l="0" t="0" r="2540" b="0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CF7AEF9-8850-4198-A829-FE5E10D329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104">
        <w:rPr>
          <w:lang w:val="en-US"/>
        </w:rPr>
        <w:t>From our annual member audit we can see that only 4% of our members</w:t>
      </w:r>
      <w:r w:rsidR="00071104">
        <w:rPr>
          <w:rStyle w:val="FootnoteReference"/>
          <w:lang w:val="en-US"/>
        </w:rPr>
        <w:footnoteReference w:id="4"/>
      </w:r>
      <w:r w:rsidR="00071104">
        <w:rPr>
          <w:lang w:val="en-US"/>
        </w:rPr>
        <w:t xml:space="preserve"> </w:t>
      </w:r>
      <w:r w:rsidR="005D3CF7">
        <w:rPr>
          <w:lang w:val="en-US"/>
        </w:rPr>
        <w:t xml:space="preserve">define themselves as </w:t>
      </w:r>
      <w:r w:rsidR="00071104">
        <w:rPr>
          <w:lang w:val="en-US"/>
        </w:rPr>
        <w:t>fund</w:t>
      </w:r>
      <w:r w:rsidR="005D3CF7">
        <w:rPr>
          <w:lang w:val="en-US"/>
        </w:rPr>
        <w:t>ing</w:t>
      </w:r>
      <w:r w:rsidR="00071104">
        <w:rPr>
          <w:lang w:val="en-US"/>
        </w:rPr>
        <w:t xml:space="preserve"> environmental work</w:t>
      </w:r>
      <w:r w:rsidR="00BD6E74">
        <w:rPr>
          <w:lang w:val="en-US"/>
        </w:rPr>
        <w:t>.</w:t>
      </w:r>
    </w:p>
    <w:p w14:paraId="758455DC" w14:textId="4186C044" w:rsidR="00071104" w:rsidRDefault="00071104" w:rsidP="004F5988">
      <w:pPr>
        <w:rPr>
          <w:lang w:val="en-US"/>
        </w:rPr>
      </w:pPr>
      <w:r>
        <w:rPr>
          <w:lang w:val="en-US"/>
        </w:rPr>
        <w:t xml:space="preserve">Breaking this down we can see that work on urban and green spaces is getting the most funding. </w:t>
      </w:r>
    </w:p>
    <w:p w14:paraId="1A34E7FF" w14:textId="77777777" w:rsidR="00F109C9" w:rsidRDefault="00F109C9" w:rsidP="004F5988">
      <w:pPr>
        <w:rPr>
          <w:lang w:val="en-US"/>
        </w:rPr>
      </w:pPr>
    </w:p>
    <w:p w14:paraId="0E9E0818" w14:textId="77777777" w:rsidR="00F109C9" w:rsidRDefault="00071104" w:rsidP="00F109C9">
      <w:pPr>
        <w:rPr>
          <w:lang w:val="en-US"/>
        </w:rPr>
      </w:pPr>
      <w:r>
        <w:rPr>
          <w:noProof/>
        </w:rPr>
        <w:drawing>
          <wp:inline distT="0" distB="0" distL="0" distR="0" wp14:anchorId="600E0D5B" wp14:editId="29D33DBD">
            <wp:extent cx="5731510" cy="1984076"/>
            <wp:effectExtent l="0" t="0" r="254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6F91E323-EC69-458F-828F-EDE264420F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24F6FAF" w14:textId="77777777" w:rsidR="000B321D" w:rsidRDefault="00F109C9" w:rsidP="00F109C9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071D8EB" wp14:editId="789039E9">
            <wp:simplePos x="0" y="0"/>
            <wp:positionH relativeFrom="column">
              <wp:posOffset>-69215</wp:posOffset>
            </wp:positionH>
            <wp:positionV relativeFrom="paragraph">
              <wp:posOffset>936625</wp:posOffset>
            </wp:positionV>
            <wp:extent cx="5641340" cy="1948180"/>
            <wp:effectExtent l="0" t="0" r="0" b="0"/>
            <wp:wrapSquare wrapText="bothSides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110545C1-AA73-403C-B6FE-A2F3EAAEF0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104">
        <w:rPr>
          <w:lang w:val="en-US"/>
        </w:rPr>
        <w:t xml:space="preserve">Looking </w:t>
      </w:r>
      <w:r w:rsidR="005048F6">
        <w:rPr>
          <w:lang w:val="en-US"/>
        </w:rPr>
        <w:t xml:space="preserve">at open data sources we can also see that </w:t>
      </w:r>
      <w:r w:rsidR="00806D98">
        <w:rPr>
          <w:lang w:val="en-US"/>
        </w:rPr>
        <w:t>funding</w:t>
      </w:r>
      <w:r w:rsidR="005048F6">
        <w:rPr>
          <w:lang w:val="en-US"/>
        </w:rPr>
        <w:t xml:space="preserve"> is going into environmental work</w:t>
      </w:r>
      <w:r w:rsidR="006335BB">
        <w:rPr>
          <w:lang w:val="en-US"/>
        </w:rPr>
        <w:t xml:space="preserve"> ranging from local communit</w:t>
      </w:r>
      <w:r w:rsidR="0044779F">
        <w:rPr>
          <w:lang w:val="en-US"/>
        </w:rPr>
        <w:t>ies</w:t>
      </w:r>
      <w:r w:rsidR="006335BB">
        <w:rPr>
          <w:lang w:val="en-US"/>
        </w:rPr>
        <w:t xml:space="preserve"> work in green spaces</w:t>
      </w:r>
      <w:r w:rsidR="0044779F">
        <w:rPr>
          <w:lang w:val="en-US"/>
        </w:rPr>
        <w:t xml:space="preserve"> to</w:t>
      </w:r>
      <w:r w:rsidR="006335BB">
        <w:rPr>
          <w:lang w:val="en-US"/>
        </w:rPr>
        <w:t xml:space="preserve"> </w:t>
      </w:r>
      <w:r w:rsidR="0044779F">
        <w:rPr>
          <w:lang w:val="en-US"/>
        </w:rPr>
        <w:t xml:space="preserve">advocacy and educational work to </w:t>
      </w:r>
      <w:r w:rsidR="00D656FD">
        <w:rPr>
          <w:lang w:val="en-US"/>
        </w:rPr>
        <w:t>core funding for climate focused organisations</w:t>
      </w:r>
      <w:r w:rsidR="0044779F">
        <w:rPr>
          <w:lang w:val="en-US"/>
        </w:rPr>
        <w:t>.</w:t>
      </w:r>
      <w:r>
        <w:rPr>
          <w:lang w:val="en-US"/>
        </w:rPr>
        <w:t xml:space="preserve"> From open data available on </w:t>
      </w:r>
      <w:proofErr w:type="spellStart"/>
      <w:r>
        <w:rPr>
          <w:lang w:val="en-US"/>
        </w:rPr>
        <w:t>GrantNav</w:t>
      </w:r>
      <w:proofErr w:type="spellEnd"/>
      <w:r>
        <w:rPr>
          <w:lang w:val="en-US"/>
        </w:rPr>
        <w:t xml:space="preserve"> we can see that there was a spike in 2020 in funding climate change organisations and projects, which we expect to see as a continuing trend.</w:t>
      </w:r>
    </w:p>
    <w:p w14:paraId="555B7985" w14:textId="3C8A5799" w:rsidR="005D3CF7" w:rsidRPr="00F109C9" w:rsidRDefault="005D3CF7" w:rsidP="00F109C9">
      <w:pPr>
        <w:jc w:val="both"/>
        <w:rPr>
          <w:lang w:val="en-US"/>
        </w:rPr>
      </w:pPr>
      <w:r>
        <w:t xml:space="preserve">The </w:t>
      </w:r>
      <w:hyperlink r:id="rId15" w:history="1">
        <w:r w:rsidR="00D263EE">
          <w:rPr>
            <w:rStyle w:val="Hyperlink"/>
          </w:rPr>
          <w:t>E</w:t>
        </w:r>
        <w:r w:rsidRPr="0068224F">
          <w:rPr>
            <w:rStyle w:val="Hyperlink"/>
          </w:rPr>
          <w:t xml:space="preserve">nvironmental </w:t>
        </w:r>
        <w:r w:rsidR="00D263EE">
          <w:rPr>
            <w:rStyle w:val="Hyperlink"/>
          </w:rPr>
          <w:t>F</w:t>
        </w:r>
        <w:r w:rsidRPr="0068224F">
          <w:rPr>
            <w:rStyle w:val="Hyperlink"/>
          </w:rPr>
          <w:t xml:space="preserve">unders </w:t>
        </w:r>
        <w:r w:rsidR="00D263EE">
          <w:rPr>
            <w:rStyle w:val="Hyperlink"/>
          </w:rPr>
          <w:t>N</w:t>
        </w:r>
        <w:r w:rsidRPr="0068224F">
          <w:rPr>
            <w:rStyle w:val="Hyperlink"/>
          </w:rPr>
          <w:t>etwork</w:t>
        </w:r>
      </w:hyperlink>
      <w:r>
        <w:t xml:space="preserve"> </w:t>
      </w:r>
      <w:r w:rsidR="00D263EE">
        <w:t xml:space="preserve">(EFN) </w:t>
      </w:r>
      <w:r w:rsidR="0068224F">
        <w:t xml:space="preserve">have reported they </w:t>
      </w:r>
      <w:r>
        <w:t xml:space="preserve">are seeing the climate emergency attracting increased attention from funders, including those not traditionally supporting environmental causes. </w:t>
      </w:r>
    </w:p>
    <w:p w14:paraId="1E6B9CE7" w14:textId="3FACBD1F" w:rsidR="00E8622E" w:rsidRDefault="00E8622E" w:rsidP="00F109C9">
      <w:pPr>
        <w:jc w:val="both"/>
      </w:pPr>
      <w:r>
        <w:t>However, i</w:t>
      </w:r>
      <w:r w:rsidR="00330BA7">
        <w:t>n their new report</w:t>
      </w:r>
      <w:r w:rsidR="00330BA7">
        <w:rPr>
          <w:rStyle w:val="FootnoteReference"/>
        </w:rPr>
        <w:footnoteReference w:id="5"/>
      </w:r>
      <w:r w:rsidR="00330BA7">
        <w:t xml:space="preserve">, </w:t>
      </w:r>
      <w:r w:rsidR="009A0096">
        <w:t>they’ve seen that</w:t>
      </w:r>
      <w:r w:rsidR="00330BA7">
        <w:t xml:space="preserve"> foundation funding directed within the UK</w:t>
      </w:r>
      <w:r w:rsidR="009A0096">
        <w:t xml:space="preserve"> that</w:t>
      </w:r>
      <w:r w:rsidR="00330BA7">
        <w:t xml:space="preserve"> 38.2% supported work at the national level, down from 45.5% in the previous period and continuing a downward trend overall in the share of national-level funding. As in previous years, grants directed towards national-level work tended to be larger (average size £50,000) than those directed towards sub-national work (average size £29,300).</w:t>
      </w:r>
      <w:r w:rsidR="009F24D8" w:rsidRPr="009F24D8">
        <w:t xml:space="preserve"> </w:t>
      </w:r>
      <w:r w:rsidR="009F24D8">
        <w:t>Of all the sub-national regions, London received the largest share of foundation funding at 15.2% (up from 9.6%), as well as the highest amount per capita (£3.68).</w:t>
      </w:r>
    </w:p>
    <w:p w14:paraId="10519DEC" w14:textId="7D0FD69B" w:rsidR="00E75D78" w:rsidRDefault="00D263EE" w:rsidP="00F109C9">
      <w:pPr>
        <w:jc w:val="both"/>
      </w:pPr>
      <w:r>
        <w:t>EFN</w:t>
      </w:r>
      <w:r w:rsidR="005D3CF7" w:rsidRPr="005D3CF7">
        <w:t xml:space="preserve"> initiated a mapping exercise in 2020 to gather information on climate-related </w:t>
      </w:r>
      <w:r w:rsidRPr="005D3CF7">
        <w:t>grant making</w:t>
      </w:r>
      <w:r w:rsidR="005D3CF7" w:rsidRPr="005D3CF7">
        <w:t xml:space="preserve"> from funders that participate in EFN’s Climate Funders Grou</w:t>
      </w:r>
      <w:r>
        <w:t>p</w:t>
      </w:r>
      <w:r w:rsidR="005D3CF7" w:rsidRPr="005D3CF7">
        <w:t>. Data were submitted by 23 funders with</w:t>
      </w:r>
      <w:r w:rsidR="004F5988">
        <w:t xml:space="preserve"> </w:t>
      </w:r>
      <w:r w:rsidR="005D3CF7" w:rsidRPr="005D3CF7">
        <w:t>annual budgets for climate-related work totalling at least £190 million collectively</w:t>
      </w:r>
      <w:r>
        <w:t>.</w:t>
      </w:r>
      <w:r>
        <w:rPr>
          <w:rStyle w:val="FootnoteReference"/>
        </w:rPr>
        <w:footnoteReference w:id="6"/>
      </w:r>
      <w:r w:rsidR="001D7EC4">
        <w:t xml:space="preserve"> They not only looked at what topics are being funded (</w:t>
      </w:r>
      <w:r w:rsidR="00CD749A" w:rsidRPr="00CD749A">
        <w:t>Terrestrial ecosystems &amp; land use</w:t>
      </w:r>
      <w:r w:rsidR="00CD749A">
        <w:t xml:space="preserve"> coming out on top) but </w:t>
      </w:r>
      <w:r w:rsidR="00E75D78">
        <w:t xml:space="preserve">the </w:t>
      </w:r>
      <w:r w:rsidR="00E75D78" w:rsidRPr="00E75D78">
        <w:t>approaches supported by the most funders</w:t>
      </w:r>
      <w:r w:rsidR="00E75D78">
        <w:t>.</w:t>
      </w:r>
    </w:p>
    <w:p w14:paraId="7060ABBE" w14:textId="3C5EFDE4" w:rsidR="00E8622E" w:rsidRDefault="00E8622E" w:rsidP="004F5988">
      <w:r>
        <w:rPr>
          <w:noProof/>
        </w:rPr>
        <w:drawing>
          <wp:anchor distT="0" distB="0" distL="114300" distR="114300" simplePos="0" relativeHeight="251658242" behindDoc="1" locked="0" layoutInCell="1" allowOverlap="1" wp14:anchorId="35B32309" wp14:editId="02717287">
            <wp:simplePos x="0" y="0"/>
            <wp:positionH relativeFrom="column">
              <wp:posOffset>655560</wp:posOffset>
            </wp:positionH>
            <wp:positionV relativeFrom="paragraph">
              <wp:posOffset>100271</wp:posOffset>
            </wp:positionV>
            <wp:extent cx="4243705" cy="2176145"/>
            <wp:effectExtent l="0" t="0" r="4445" b="0"/>
            <wp:wrapTight wrapText="bothSides">
              <wp:wrapPolygon edited="0">
                <wp:start x="0" y="0"/>
                <wp:lineTo x="0" y="21367"/>
                <wp:lineTo x="21526" y="21367"/>
                <wp:lineTo x="21526" y="0"/>
                <wp:lineTo x="0" y="0"/>
              </wp:wrapPolygon>
            </wp:wrapTight>
            <wp:docPr id="10" name="Picture 10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70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4FC1C" w14:textId="19A06AB6" w:rsidR="00E8622E" w:rsidRDefault="00E8622E" w:rsidP="004F5988"/>
    <w:p w14:paraId="3883CC99" w14:textId="605BC9F1" w:rsidR="00E8622E" w:rsidRDefault="00E8622E" w:rsidP="004F5988"/>
    <w:p w14:paraId="2536B502" w14:textId="1C014581" w:rsidR="00E8622E" w:rsidRDefault="00E8622E" w:rsidP="004F5988"/>
    <w:p w14:paraId="044B8F17" w14:textId="27429AB4" w:rsidR="00E8622E" w:rsidRDefault="00E8622E" w:rsidP="004F5988"/>
    <w:p w14:paraId="3ED5A57F" w14:textId="140BFBCB" w:rsidR="00E8622E" w:rsidRDefault="00E8622E" w:rsidP="004F5988"/>
    <w:p w14:paraId="7436F51D" w14:textId="20A7799F" w:rsidR="0016367D" w:rsidRDefault="0016367D" w:rsidP="004F5988">
      <w:pPr>
        <w:rPr>
          <w:lang w:val="en-US"/>
        </w:rPr>
      </w:pPr>
    </w:p>
    <w:p w14:paraId="267BA5F5" w14:textId="77777777" w:rsidR="00F109C9" w:rsidRDefault="00F109C9" w:rsidP="004F5988">
      <w:pPr>
        <w:rPr>
          <w:b/>
          <w:bCs/>
          <w:color w:val="C7047E"/>
          <w:sz w:val="24"/>
          <w:szCs w:val="24"/>
          <w:lang w:val="en-US"/>
        </w:rPr>
      </w:pPr>
    </w:p>
    <w:p w14:paraId="71BEF549" w14:textId="77777777" w:rsidR="00F109C9" w:rsidRDefault="00F109C9" w:rsidP="004F5988">
      <w:pPr>
        <w:rPr>
          <w:b/>
          <w:bCs/>
          <w:color w:val="C7047E"/>
          <w:sz w:val="24"/>
          <w:szCs w:val="24"/>
          <w:lang w:val="en-US"/>
        </w:rPr>
      </w:pPr>
    </w:p>
    <w:p w14:paraId="2B15C652" w14:textId="77777777" w:rsidR="000B321D" w:rsidRDefault="000B321D" w:rsidP="004F5988">
      <w:pPr>
        <w:rPr>
          <w:b/>
          <w:bCs/>
          <w:color w:val="C7047E"/>
          <w:sz w:val="24"/>
          <w:szCs w:val="24"/>
          <w:lang w:val="en-US"/>
        </w:rPr>
      </w:pPr>
    </w:p>
    <w:p w14:paraId="7B0F9BAF" w14:textId="5C7C6404" w:rsidR="00190E47" w:rsidRPr="0016367D" w:rsidRDefault="006216B4" w:rsidP="004F5988">
      <w:pPr>
        <w:rPr>
          <w:b/>
          <w:bCs/>
          <w:color w:val="C7047E"/>
          <w:sz w:val="24"/>
          <w:szCs w:val="24"/>
          <w:lang w:val="en-US"/>
        </w:rPr>
      </w:pPr>
      <w:r w:rsidRPr="0016367D">
        <w:rPr>
          <w:b/>
          <w:bCs/>
          <w:color w:val="C7047E"/>
          <w:sz w:val="24"/>
          <w:szCs w:val="24"/>
          <w:lang w:val="en-US"/>
        </w:rPr>
        <w:t>Further reading</w:t>
      </w:r>
      <w:r w:rsidR="00190E47" w:rsidRPr="0016367D">
        <w:rPr>
          <w:b/>
          <w:bCs/>
          <w:color w:val="C7047E"/>
          <w:sz w:val="24"/>
          <w:szCs w:val="24"/>
          <w:lang w:val="en-US"/>
        </w:rPr>
        <w:t xml:space="preserve"> and recommendations </w:t>
      </w:r>
    </w:p>
    <w:p w14:paraId="67178E3A" w14:textId="44708B35" w:rsidR="00190E47" w:rsidRDefault="005424BE" w:rsidP="004F5988">
      <w:pPr>
        <w:rPr>
          <w:lang w:val="en-US"/>
        </w:rPr>
      </w:pPr>
      <w:r>
        <w:rPr>
          <w:lang w:val="en-US"/>
        </w:rPr>
        <w:t xml:space="preserve">Sign the Funder commitment on climate change - </w:t>
      </w:r>
      <w:hyperlink r:id="rId17" w:history="1">
        <w:r w:rsidRPr="00EA7E68">
          <w:rPr>
            <w:rStyle w:val="Hyperlink"/>
            <w:lang w:val="en-US"/>
          </w:rPr>
          <w:t>https://fundercommitmentclimatechange.org/</w:t>
        </w:r>
      </w:hyperlink>
      <w:r w:rsidR="00190E47">
        <w:rPr>
          <w:lang w:val="en-US"/>
        </w:rPr>
        <w:t xml:space="preserve"> </w:t>
      </w:r>
    </w:p>
    <w:p w14:paraId="14620E1D" w14:textId="5C91DD22" w:rsidR="00190E47" w:rsidRDefault="005031FE" w:rsidP="004F5988">
      <w:pPr>
        <w:rPr>
          <w:color w:val="C7047E"/>
          <w:lang w:val="en-US"/>
        </w:rPr>
      </w:pPr>
      <w:r w:rsidRPr="005031FE">
        <w:rPr>
          <w:lang w:val="en-US"/>
        </w:rPr>
        <w:t>Environmental Funders Network</w:t>
      </w:r>
      <w:r w:rsidR="00936DEF">
        <w:rPr>
          <w:color w:val="C7047E"/>
          <w:lang w:val="en-US"/>
        </w:rPr>
        <w:t xml:space="preserve"> </w:t>
      </w:r>
      <w:r>
        <w:rPr>
          <w:color w:val="C7047E"/>
          <w:lang w:val="en-US"/>
        </w:rPr>
        <w:t xml:space="preserve">- </w:t>
      </w:r>
      <w:hyperlink r:id="rId18" w:history="1">
        <w:r w:rsidRPr="00EA7E68">
          <w:rPr>
            <w:rStyle w:val="Hyperlink"/>
            <w:lang w:val="en-US"/>
          </w:rPr>
          <w:t>https://www.greenfunders.org/</w:t>
        </w:r>
      </w:hyperlink>
      <w:r>
        <w:rPr>
          <w:color w:val="C7047E"/>
          <w:lang w:val="en-US"/>
        </w:rPr>
        <w:t xml:space="preserve"> </w:t>
      </w:r>
    </w:p>
    <w:p w14:paraId="5644B2FF" w14:textId="4031F78A" w:rsidR="00672675" w:rsidRDefault="00672675" w:rsidP="004F5988">
      <w:r>
        <w:t>Acting on the Climate Crisis – Why, How and the Role of Philanthropy: A resource pack for funders</w:t>
      </w:r>
      <w:r w:rsidR="00360C78">
        <w:t xml:space="preserve"> - </w:t>
      </w:r>
      <w:hyperlink r:id="rId19" w:history="1">
        <w:r w:rsidR="00360C78" w:rsidRPr="00EA7E68">
          <w:rPr>
            <w:rStyle w:val="Hyperlink"/>
          </w:rPr>
          <w:t>https://www.greenfunders.org/wp-content/uploads/2021/10/Acting-on-the-Climate-Crisis-%E2%80%93-Why-How-and-the-Role-of-Philanthropy_-A-resource-pack-for-funders_October-2021.pdf</w:t>
        </w:r>
      </w:hyperlink>
      <w:r w:rsidR="00360C78">
        <w:t xml:space="preserve"> </w:t>
      </w:r>
    </w:p>
    <w:p w14:paraId="0A622A7B" w14:textId="2EDF26A9" w:rsidR="00392A78" w:rsidRDefault="00D255BE" w:rsidP="004F5988">
      <w:pPr>
        <w:rPr>
          <w:color w:val="C7047E"/>
          <w:lang w:val="en-US"/>
        </w:rPr>
      </w:pPr>
      <w:r w:rsidRPr="00D255BE">
        <w:rPr>
          <w:lang w:val="en-US"/>
        </w:rPr>
        <w:t>Where the climate grants went in 2020 -</w:t>
      </w:r>
      <w:r>
        <w:rPr>
          <w:color w:val="C7047E"/>
        </w:rPr>
        <w:t xml:space="preserve"> </w:t>
      </w:r>
      <w:hyperlink r:id="rId20" w:history="1">
        <w:r w:rsidR="00392A78" w:rsidRPr="00EA7E68">
          <w:rPr>
            <w:rStyle w:val="Hyperlink"/>
            <w:lang w:val="en-US"/>
          </w:rPr>
          <w:t>https://www.greenfunders.org/2021/04/06/where-the-climate-grants-went-in-2020/</w:t>
        </w:r>
      </w:hyperlink>
      <w:r w:rsidR="00392A78">
        <w:rPr>
          <w:color w:val="C7047E"/>
          <w:lang w:val="en-US"/>
        </w:rPr>
        <w:t xml:space="preserve"> </w:t>
      </w:r>
    </w:p>
    <w:p w14:paraId="4D3DA56E" w14:textId="48196F68" w:rsidR="000B321D" w:rsidRPr="00D255BE" w:rsidRDefault="000B321D" w:rsidP="004F5988">
      <w:pPr>
        <w:rPr>
          <w:color w:val="C7047E"/>
        </w:rPr>
      </w:pPr>
      <w:r>
        <w:t xml:space="preserve">Where the green grants went, 8 - </w:t>
      </w:r>
      <w:hyperlink r:id="rId21" w:history="1">
        <w:r w:rsidRPr="00DB7ADA">
          <w:rPr>
            <w:rStyle w:val="Hyperlink"/>
          </w:rPr>
          <w:t>https://www.greenfunders.org/wp-content/uploads/2021/11/Where-the-Green-Grants-Went-8-November-2021.pdf</w:t>
        </w:r>
      </w:hyperlink>
    </w:p>
    <w:p w14:paraId="2EA9F5FC" w14:textId="77777777" w:rsidR="00E327A4" w:rsidRDefault="00E327A4" w:rsidP="004F5988">
      <w:pPr>
        <w:rPr>
          <w:lang w:val="en-US"/>
        </w:rPr>
      </w:pPr>
      <w:r>
        <w:rPr>
          <w:lang w:val="en-US"/>
        </w:rPr>
        <w:t xml:space="preserve">London Councils climate change action  - </w:t>
      </w:r>
      <w:hyperlink r:id="rId22" w:history="1">
        <w:r w:rsidRPr="00EA7E68">
          <w:rPr>
            <w:rStyle w:val="Hyperlink"/>
            <w:lang w:val="en-US"/>
          </w:rPr>
          <w:t>https://www.londoncouncils.gov.uk/our-key-themes/environment/climate-change</w:t>
        </w:r>
      </w:hyperlink>
    </w:p>
    <w:p w14:paraId="033D5DD2" w14:textId="3486EDC5" w:rsidR="001A27F8" w:rsidRDefault="00C43AEF" w:rsidP="004F5988">
      <w:pPr>
        <w:rPr>
          <w:lang w:val="en-US"/>
        </w:rPr>
      </w:pPr>
      <w:r w:rsidRPr="00D62B59">
        <w:rPr>
          <w:lang w:val="en-US"/>
        </w:rPr>
        <w:t xml:space="preserve">Greater London Authority, The London Plan - </w:t>
      </w:r>
      <w:hyperlink r:id="rId23" w:history="1">
        <w:r w:rsidRPr="00EA7E68">
          <w:rPr>
            <w:rStyle w:val="Hyperlink"/>
            <w:lang w:val="en-US"/>
          </w:rPr>
          <w:t>https://www.london.gov.uk/what-we-do/planning/london-plan/past-versions-and-alterations-london-plan/london-plan-2016/london-plan-chapter-one-context-and-strategy-6</w:t>
        </w:r>
      </w:hyperlink>
      <w:r>
        <w:rPr>
          <w:color w:val="C7047E"/>
          <w:lang w:val="en-US"/>
        </w:rPr>
        <w:t xml:space="preserve"> </w:t>
      </w:r>
    </w:p>
    <w:p w14:paraId="10BDBA16" w14:textId="2B41C26D" w:rsidR="00071104" w:rsidRPr="001A27F8" w:rsidRDefault="00BF0340" w:rsidP="004F5988">
      <w:pPr>
        <w:rPr>
          <w:lang w:val="en-US"/>
        </w:rPr>
      </w:pPr>
      <w:r>
        <w:rPr>
          <w:lang w:val="en-US"/>
        </w:rPr>
        <w:t xml:space="preserve">National Lottery Community Fund, Climate action hub - </w:t>
      </w:r>
      <w:hyperlink r:id="rId24" w:history="1">
        <w:r w:rsidRPr="00EA7E68">
          <w:rPr>
            <w:rStyle w:val="Hyperlink"/>
            <w:lang w:val="en-US"/>
          </w:rPr>
          <w:t>https://www.tnlcommunityfund.org.uk/key-initiatives/climate-action-hub/learning-and-insights</w:t>
        </w:r>
      </w:hyperlink>
      <w:r>
        <w:rPr>
          <w:lang w:val="en-US"/>
        </w:rPr>
        <w:t xml:space="preserve"> </w:t>
      </w:r>
    </w:p>
    <w:sectPr w:rsidR="00071104" w:rsidRPr="001A27F8" w:rsidSect="00F109C9">
      <w:headerReference w:type="firs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8B48" w14:textId="77777777" w:rsidR="00423DBD" w:rsidRDefault="00423DBD" w:rsidP="001A27F8">
      <w:pPr>
        <w:spacing w:after="0" w:line="240" w:lineRule="auto"/>
      </w:pPr>
      <w:r>
        <w:separator/>
      </w:r>
    </w:p>
  </w:endnote>
  <w:endnote w:type="continuationSeparator" w:id="0">
    <w:p w14:paraId="29E24220" w14:textId="77777777" w:rsidR="00423DBD" w:rsidRDefault="00423DBD" w:rsidP="001A27F8">
      <w:pPr>
        <w:spacing w:after="0" w:line="240" w:lineRule="auto"/>
      </w:pPr>
      <w:r>
        <w:continuationSeparator/>
      </w:r>
    </w:p>
  </w:endnote>
  <w:endnote w:type="continuationNotice" w:id="1">
    <w:p w14:paraId="2F0B50E5" w14:textId="77777777" w:rsidR="00423DBD" w:rsidRDefault="00423D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BD6C" w14:textId="77777777" w:rsidR="00423DBD" w:rsidRDefault="00423DBD" w:rsidP="001A27F8">
      <w:pPr>
        <w:spacing w:after="0" w:line="240" w:lineRule="auto"/>
      </w:pPr>
      <w:r>
        <w:separator/>
      </w:r>
    </w:p>
  </w:footnote>
  <w:footnote w:type="continuationSeparator" w:id="0">
    <w:p w14:paraId="47BDD620" w14:textId="77777777" w:rsidR="00423DBD" w:rsidRDefault="00423DBD" w:rsidP="001A27F8">
      <w:pPr>
        <w:spacing w:after="0" w:line="240" w:lineRule="auto"/>
      </w:pPr>
      <w:r>
        <w:continuationSeparator/>
      </w:r>
    </w:p>
  </w:footnote>
  <w:footnote w:type="continuationNotice" w:id="1">
    <w:p w14:paraId="18C3841A" w14:textId="77777777" w:rsidR="00423DBD" w:rsidRDefault="00423DBD">
      <w:pPr>
        <w:spacing w:after="0" w:line="240" w:lineRule="auto"/>
      </w:pPr>
    </w:p>
  </w:footnote>
  <w:footnote w:id="2">
    <w:p w14:paraId="520EB696" w14:textId="77777777" w:rsidR="001F3DF7" w:rsidRPr="001A27F8" w:rsidRDefault="001F3DF7" w:rsidP="001F3D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A7E68">
          <w:rPr>
            <w:rStyle w:val="Hyperlink"/>
          </w:rPr>
          <w:t>https://www.london.gov.uk/what-we-do/planning/london-plan/past-versions-and-alterations-london-plan/london-plan-2016/london-plan-chapter-one-context-and-strategy-6</w:t>
        </w:r>
      </w:hyperlink>
      <w:r>
        <w:t xml:space="preserve"> </w:t>
      </w:r>
    </w:p>
  </w:footnote>
  <w:footnote w:id="3">
    <w:p w14:paraId="6FA5B7F0" w14:textId="34FADC85" w:rsidR="00071104" w:rsidRPr="00071104" w:rsidRDefault="000711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A7E68">
          <w:rPr>
            <w:rStyle w:val="Hyperlink"/>
          </w:rPr>
          <w:t>https://www.bloomberg.org/press/mayor-sadiq-khan-warns-that-time-is-running-out-to-act-on-the-climate-emergency-as-london-faces-threat-of-soaring-temperatures-and-floods/</w:t>
        </w:r>
      </w:hyperlink>
      <w:r>
        <w:t xml:space="preserve"> </w:t>
      </w:r>
    </w:p>
  </w:footnote>
  <w:footnote w:id="4">
    <w:p w14:paraId="7BF4DF85" w14:textId="6AE98BE9" w:rsidR="00071104" w:rsidRPr="00071104" w:rsidRDefault="000711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Survey completed by 58% of London Funders members</w:t>
      </w:r>
    </w:p>
  </w:footnote>
  <w:footnote w:id="5">
    <w:p w14:paraId="51DEF3CB" w14:textId="6B7C1469" w:rsidR="00330BA7" w:rsidRPr="00330BA7" w:rsidRDefault="00330B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9A0096" w:rsidRPr="00DB7ADA">
          <w:rPr>
            <w:rStyle w:val="Hyperlink"/>
          </w:rPr>
          <w:t>https://www.greenfunders.org/wp-content/uploads/2021/11/Where-the-Green-Grants-Went-8-November-2021.pdf</w:t>
        </w:r>
      </w:hyperlink>
      <w:r w:rsidR="009A0096">
        <w:t xml:space="preserve"> </w:t>
      </w:r>
    </w:p>
  </w:footnote>
  <w:footnote w:id="6">
    <w:p w14:paraId="2DFD632C" w14:textId="38A5930C" w:rsidR="00D263EE" w:rsidRPr="00D263EE" w:rsidRDefault="00D263E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14772B" w:rsidRPr="00EA7E68">
          <w:rPr>
            <w:rStyle w:val="Hyperlink"/>
          </w:rPr>
          <w:t>https://www.greenfunders.org/2021/04/06/where-the-climate-grants-went-in-2020/</w:t>
        </w:r>
      </w:hyperlink>
      <w:r w:rsidR="0014772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C387" w14:textId="632DD4F9" w:rsidR="00F109C9" w:rsidRDefault="00F109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504393" wp14:editId="2626229D">
          <wp:simplePos x="0" y="0"/>
          <wp:positionH relativeFrom="column">
            <wp:posOffset>5607170</wp:posOffset>
          </wp:positionH>
          <wp:positionV relativeFrom="paragraph">
            <wp:posOffset>-310995</wp:posOffset>
          </wp:positionV>
          <wp:extent cx="850900" cy="1338580"/>
          <wp:effectExtent l="0" t="0" r="6350" b="0"/>
          <wp:wrapSquare wrapText="bothSides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133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722"/>
    <w:multiLevelType w:val="multilevel"/>
    <w:tmpl w:val="59F6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C102C"/>
    <w:multiLevelType w:val="multilevel"/>
    <w:tmpl w:val="3E8C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572CB"/>
    <w:multiLevelType w:val="hybridMultilevel"/>
    <w:tmpl w:val="4774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23F30"/>
    <w:multiLevelType w:val="hybridMultilevel"/>
    <w:tmpl w:val="0924EE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F8"/>
    <w:rsid w:val="00071104"/>
    <w:rsid w:val="000B321D"/>
    <w:rsid w:val="00116F3D"/>
    <w:rsid w:val="001254B9"/>
    <w:rsid w:val="0014772B"/>
    <w:rsid w:val="0016367D"/>
    <w:rsid w:val="00187D7A"/>
    <w:rsid w:val="00190E47"/>
    <w:rsid w:val="001A27F8"/>
    <w:rsid w:val="001D7EC4"/>
    <w:rsid w:val="001F3DF7"/>
    <w:rsid w:val="0020108E"/>
    <w:rsid w:val="00262D4E"/>
    <w:rsid w:val="00330BA7"/>
    <w:rsid w:val="00360C78"/>
    <w:rsid w:val="00392A78"/>
    <w:rsid w:val="00423DBD"/>
    <w:rsid w:val="0044779F"/>
    <w:rsid w:val="0045175D"/>
    <w:rsid w:val="0045688F"/>
    <w:rsid w:val="004656AB"/>
    <w:rsid w:val="004B7E03"/>
    <w:rsid w:val="004F5988"/>
    <w:rsid w:val="005031FE"/>
    <w:rsid w:val="005048F6"/>
    <w:rsid w:val="005424BE"/>
    <w:rsid w:val="005462E8"/>
    <w:rsid w:val="005529B8"/>
    <w:rsid w:val="005D3CF7"/>
    <w:rsid w:val="005D79A4"/>
    <w:rsid w:val="006216B4"/>
    <w:rsid w:val="006335BB"/>
    <w:rsid w:val="00672675"/>
    <w:rsid w:val="0068224F"/>
    <w:rsid w:val="007C122D"/>
    <w:rsid w:val="00800292"/>
    <w:rsid w:val="00806D98"/>
    <w:rsid w:val="00813BC0"/>
    <w:rsid w:val="008514C7"/>
    <w:rsid w:val="00936DEF"/>
    <w:rsid w:val="00967286"/>
    <w:rsid w:val="009807E8"/>
    <w:rsid w:val="009A0096"/>
    <w:rsid w:val="009F24D8"/>
    <w:rsid w:val="00A42C3F"/>
    <w:rsid w:val="00A51C79"/>
    <w:rsid w:val="00A86015"/>
    <w:rsid w:val="00A969DE"/>
    <w:rsid w:val="00AE53DB"/>
    <w:rsid w:val="00AF6A8A"/>
    <w:rsid w:val="00BD6E74"/>
    <w:rsid w:val="00BF0340"/>
    <w:rsid w:val="00C2533F"/>
    <w:rsid w:val="00C43AEF"/>
    <w:rsid w:val="00C963A7"/>
    <w:rsid w:val="00CD749A"/>
    <w:rsid w:val="00D255BE"/>
    <w:rsid w:val="00D263EE"/>
    <w:rsid w:val="00D54323"/>
    <w:rsid w:val="00D62B59"/>
    <w:rsid w:val="00D656FD"/>
    <w:rsid w:val="00D81B7A"/>
    <w:rsid w:val="00E12BA2"/>
    <w:rsid w:val="00E327A4"/>
    <w:rsid w:val="00E75D78"/>
    <w:rsid w:val="00E8622E"/>
    <w:rsid w:val="00EC7732"/>
    <w:rsid w:val="00F109C9"/>
    <w:rsid w:val="00F6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27676"/>
  <w15:chartTrackingRefBased/>
  <w15:docId w15:val="{56A18F7B-CEF7-415D-9A56-BCF511BC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F8"/>
  </w:style>
  <w:style w:type="paragraph" w:styleId="Footer">
    <w:name w:val="footer"/>
    <w:basedOn w:val="Normal"/>
    <w:link w:val="FooterChar"/>
    <w:uiPriority w:val="99"/>
    <w:unhideWhenUsed/>
    <w:rsid w:val="001A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F8"/>
  </w:style>
  <w:style w:type="paragraph" w:styleId="ListParagraph">
    <w:name w:val="List Paragraph"/>
    <w:basedOn w:val="Normal"/>
    <w:uiPriority w:val="34"/>
    <w:qFormat/>
    <w:rsid w:val="001A27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2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27F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7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7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7F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27F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27F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03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yperlink" Target="https://www.greenfunders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reenfunders.org/wp-content/uploads/2021/11/Where-the-Green-Grants-Went-8-November-2021.pdf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yperlink" Target="https://fundercommitmentclimatechange.or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www.greenfunders.org/2021/04/06/where-the-climate-grants-went-in-202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meeting/register/tZUscOGprT4jG9IFWGCCkU2vsBsUP6ui3MS4" TargetMode="External"/><Relationship Id="rId24" Type="http://schemas.openxmlformats.org/officeDocument/2006/relationships/hyperlink" Target="https://www.tnlcommunityfund.org.uk/key-initiatives/climate-action-hub/learning-and-insigh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reenfunders.org/2021/04/06/where-the-climate-grants-went-in-2020/" TargetMode="External"/><Relationship Id="rId23" Type="http://schemas.openxmlformats.org/officeDocument/2006/relationships/hyperlink" Target="https://www.london.gov.uk/what-we-do/planning/london-plan/past-versions-and-alterations-london-plan/london-plan-2016/london-plan-chapter-one-context-and-strategy-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reenfunders.org/wp-content/uploads/2021/10/Acting-on-the-Climate-Crisis-%E2%80%93-Why-How-and-the-Role-of-Philanthropy_-A-resource-pack-for-funders_October-202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hyperlink" Target="https://www.londoncouncils.gov.uk/our-key-themes/environment/climate-change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reenfunders.org/wp-content/uploads/2021/11/Where-the-Green-Grants-Went-8-November-2021.pdf" TargetMode="External"/><Relationship Id="rId2" Type="http://schemas.openxmlformats.org/officeDocument/2006/relationships/hyperlink" Target="https://www.bloomberg.org/press/mayor-sadiq-khan-warns-that-time-is-running-out-to-act-on-the-climate-emergency-as-london-faces-threat-of-soaring-temperatures-and-floods/" TargetMode="External"/><Relationship Id="rId1" Type="http://schemas.openxmlformats.org/officeDocument/2006/relationships/hyperlink" Target="https://www.london.gov.uk/what-we-do/planning/london-plan/past-versions-and-alterations-london-plan/london-plan-2016/london-plan-chapter-one-context-and-strategy-6" TargetMode="External"/><Relationship Id="rId4" Type="http://schemas.openxmlformats.org/officeDocument/2006/relationships/hyperlink" Target="https://www.greenfunders.org/2021/04/06/where-the-climate-grants-went-in-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londonfunders647-my.sharepoint.com/personal/grace_perry_londonfunders_org_uk/Documents/Desktop/Copy%20of%20London%20Funders%20Member%20Audit%20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londonfunders647-my.sharepoint.com/personal/grace_perry_londonfunders_org_uk/Documents/Desktop/Copy%20of%20London%20Funders%20Member%20Audit%20202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londonfunders647-my.sharepoint.com/personal/grace_perry_londonfunders_org_uk/Documents/Desktop/Copy%20of%20London%20Funders%20Member%20Audit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Sheet3!$C$108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rgbClr val="FFCF4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CE6F-4147-8610-6B65C4D8ECF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Sheet3!$A$109:$A$123</c:f>
              <c:strCache>
                <c:ptCount val="15"/>
                <c:pt idx="0">
                  <c:v>Housing provision</c:v>
                </c:pt>
                <c:pt idx="1">
                  <c:v>Other</c:v>
                </c:pt>
                <c:pt idx="2">
                  <c:v>General Charitable Purposes</c:v>
                </c:pt>
                <c:pt idx="3">
                  <c:v>Sport and recreation</c:v>
                </c:pt>
                <c:pt idx="4">
                  <c:v>Research</c:v>
                </c:pt>
                <c:pt idx="5">
                  <c:v>Community resilience, integration and cohesion</c:v>
                </c:pt>
                <c:pt idx="6">
                  <c:v>Volunteering and social action</c:v>
                </c:pt>
                <c:pt idx="7">
                  <c:v>Equity and justice</c:v>
                </c:pt>
                <c:pt idx="8">
                  <c:v>Education and Training</c:v>
                </c:pt>
                <c:pt idx="9">
                  <c:v>Environment</c:v>
                </c:pt>
                <c:pt idx="10">
                  <c:v>Arts, culture and heritage </c:v>
                </c:pt>
                <c:pt idx="11">
                  <c:v>Crime and justice</c:v>
                </c:pt>
                <c:pt idx="12">
                  <c:v>Crisis and poverty</c:v>
                </c:pt>
                <c:pt idx="13">
                  <c:v>Health and social care</c:v>
                </c:pt>
                <c:pt idx="14">
                  <c:v>People and communities</c:v>
                </c:pt>
              </c:strCache>
            </c:strRef>
          </c:cat>
          <c:val>
            <c:numRef>
              <c:f>Sheet3!$C$109:$C$123</c:f>
              <c:numCache>
                <c:formatCode>0%</c:formatCode>
                <c:ptCount val="15"/>
                <c:pt idx="0">
                  <c:v>1.2459016393442624E-2</c:v>
                </c:pt>
                <c:pt idx="1">
                  <c:v>1.3770491803278689E-2</c:v>
                </c:pt>
                <c:pt idx="2">
                  <c:v>1.4426229508196721E-2</c:v>
                </c:pt>
                <c:pt idx="3">
                  <c:v>1.9016393442622952E-2</c:v>
                </c:pt>
                <c:pt idx="4">
                  <c:v>2.0983606557377049E-2</c:v>
                </c:pt>
                <c:pt idx="5">
                  <c:v>2.5573770491803278E-2</c:v>
                </c:pt>
                <c:pt idx="6">
                  <c:v>2.6229508196721311E-2</c:v>
                </c:pt>
                <c:pt idx="7">
                  <c:v>2.7540983606557379E-2</c:v>
                </c:pt>
                <c:pt idx="8">
                  <c:v>2.8196721311475409E-2</c:v>
                </c:pt>
                <c:pt idx="9">
                  <c:v>4.0655737704918031E-2</c:v>
                </c:pt>
                <c:pt idx="10">
                  <c:v>4.1967213114754098E-2</c:v>
                </c:pt>
                <c:pt idx="11">
                  <c:v>9.8360655737704916E-2</c:v>
                </c:pt>
                <c:pt idx="12">
                  <c:v>0.14885245901639343</c:v>
                </c:pt>
                <c:pt idx="13">
                  <c:v>0.2137704918032787</c:v>
                </c:pt>
                <c:pt idx="14">
                  <c:v>0.26819672131147543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6F-4147-8610-6B65C4D8EC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7396208"/>
        <c:axId val="46739038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Sheet3!$B$108</c15:sqref>
                        </c15:formulaRef>
                      </c:ext>
                    </c:extLst>
                    <c:strCache>
                      <c:ptCount val="1"/>
                      <c:pt idx="0">
                        <c:v>no.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1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Sheet3!$A$109:$A$123</c15:sqref>
                        </c15:formulaRef>
                      </c:ext>
                    </c:extLst>
                    <c:strCache>
                      <c:ptCount val="15"/>
                      <c:pt idx="0">
                        <c:v>Housing provision</c:v>
                      </c:pt>
                      <c:pt idx="1">
                        <c:v>Other</c:v>
                      </c:pt>
                      <c:pt idx="2">
                        <c:v>General Charitable Purposes</c:v>
                      </c:pt>
                      <c:pt idx="3">
                        <c:v>Sport and recreation</c:v>
                      </c:pt>
                      <c:pt idx="4">
                        <c:v>Research</c:v>
                      </c:pt>
                      <c:pt idx="5">
                        <c:v>Community resilience, integration and cohesion</c:v>
                      </c:pt>
                      <c:pt idx="6">
                        <c:v>Volunteering and social action</c:v>
                      </c:pt>
                      <c:pt idx="7">
                        <c:v>Equity and justice</c:v>
                      </c:pt>
                      <c:pt idx="8">
                        <c:v>Education and Training</c:v>
                      </c:pt>
                      <c:pt idx="9">
                        <c:v>Environment</c:v>
                      </c:pt>
                      <c:pt idx="10">
                        <c:v>Arts, culture and heritage </c:v>
                      </c:pt>
                      <c:pt idx="11">
                        <c:v>Crime and justice</c:v>
                      </c:pt>
                      <c:pt idx="12">
                        <c:v>Crisis and poverty</c:v>
                      </c:pt>
                      <c:pt idx="13">
                        <c:v>Health and social care</c:v>
                      </c:pt>
                      <c:pt idx="14">
                        <c:v>People and communities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Sheet3!$B$109:$B$123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19</c:v>
                      </c:pt>
                      <c:pt idx="1">
                        <c:v>21</c:v>
                      </c:pt>
                      <c:pt idx="2">
                        <c:v>22</c:v>
                      </c:pt>
                      <c:pt idx="3">
                        <c:v>29</c:v>
                      </c:pt>
                      <c:pt idx="4">
                        <c:v>32</c:v>
                      </c:pt>
                      <c:pt idx="5">
                        <c:v>39</c:v>
                      </c:pt>
                      <c:pt idx="6">
                        <c:v>40</c:v>
                      </c:pt>
                      <c:pt idx="7">
                        <c:v>42</c:v>
                      </c:pt>
                      <c:pt idx="8">
                        <c:v>43</c:v>
                      </c:pt>
                      <c:pt idx="9">
                        <c:v>62</c:v>
                      </c:pt>
                      <c:pt idx="10">
                        <c:v>64</c:v>
                      </c:pt>
                      <c:pt idx="11">
                        <c:v>150</c:v>
                      </c:pt>
                      <c:pt idx="12">
                        <c:v>227</c:v>
                      </c:pt>
                      <c:pt idx="13">
                        <c:v>326</c:v>
                      </c:pt>
                      <c:pt idx="14">
                        <c:v>409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CE6F-4147-8610-6B65C4D8ECF3}"/>
                  </c:ext>
                </c:extLst>
              </c15:ser>
            </c15:filteredBarSeries>
          </c:ext>
        </c:extLst>
      </c:barChart>
      <c:catAx>
        <c:axId val="46739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7390384"/>
        <c:crosses val="autoZero"/>
        <c:auto val="1"/>
        <c:lblAlgn val="ctr"/>
        <c:lblOffset val="100"/>
        <c:noMultiLvlLbl val="0"/>
      </c:catAx>
      <c:valAx>
        <c:axId val="467390384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dirty="0"/>
                  <a:t>%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crossAx val="467396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Sheet3!$I$55:$I$59</c:f>
              <c:strCache>
                <c:ptCount val="5"/>
                <c:pt idx="0">
                  <c:v>Improving urban spaces</c:v>
                </c:pt>
                <c:pt idx="1">
                  <c:v>Parks and green spaces</c:v>
                </c:pt>
                <c:pt idx="2">
                  <c:v>Air quality</c:v>
                </c:pt>
                <c:pt idx="3">
                  <c:v>Other</c:v>
                </c:pt>
                <c:pt idx="4">
                  <c:v>Animals</c:v>
                </c:pt>
              </c:strCache>
            </c:strRef>
          </c:cat>
          <c:val>
            <c:numRef>
              <c:f>Sheet3!$J$55:$J$59</c:f>
              <c:numCache>
                <c:formatCode>General</c:formatCode>
                <c:ptCount val="5"/>
                <c:pt idx="0">
                  <c:v>19</c:v>
                </c:pt>
                <c:pt idx="1">
                  <c:v>19</c:v>
                </c:pt>
                <c:pt idx="2">
                  <c:v>12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24-48C2-BA6B-FC9B66EF842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6166591"/>
        <c:axId val="1806167423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Sheet3!$I$55:$I$59</c15:sqref>
                        </c15:formulaRef>
                      </c:ext>
                    </c:extLst>
                    <c:strCache>
                      <c:ptCount val="5"/>
                      <c:pt idx="0">
                        <c:v>Improving urban spaces</c:v>
                      </c:pt>
                      <c:pt idx="1">
                        <c:v>Parks and green spaces</c:v>
                      </c:pt>
                      <c:pt idx="2">
                        <c:v>Air quality</c:v>
                      </c:pt>
                      <c:pt idx="3">
                        <c:v>Other</c:v>
                      </c:pt>
                      <c:pt idx="4">
                        <c:v>Animals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Sheet3!$K$55:$K$59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0.30645161290322581</c:v>
                      </c:pt>
                      <c:pt idx="1">
                        <c:v>0.30645161290322581</c:v>
                      </c:pt>
                      <c:pt idx="2">
                        <c:v>0.19354838709677419</c:v>
                      </c:pt>
                      <c:pt idx="3">
                        <c:v>0.17741935483870969</c:v>
                      </c:pt>
                      <c:pt idx="4">
                        <c:v>1.6129032258064516E-2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5824-48C2-BA6B-FC9B66EF8425}"/>
                  </c:ext>
                </c:extLst>
              </c15:ser>
            </c15:filteredBarSeries>
          </c:ext>
        </c:extLst>
      </c:barChart>
      <c:catAx>
        <c:axId val="180616659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6167423"/>
        <c:crosses val="autoZero"/>
        <c:auto val="1"/>
        <c:lblAlgn val="ctr"/>
        <c:lblOffset val="100"/>
        <c:noMultiLvlLbl val="0"/>
      </c:catAx>
      <c:valAx>
        <c:axId val="1806167423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No.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18061665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[Copy of London Funders Member Audit 2021.xlsx]Sheet7!PivotTable1</c:name>
    <c:fmtId val="-1"/>
  </c:pivotSource>
  <c:chart>
    <c:autoTitleDeleted val="1"/>
    <c:pivotFmts>
      <c:pivotFmt>
        <c:idx val="0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numFmt formatCode="&quot;£&quot;#,##0.0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numFmt formatCode="&quot;£&quot;#,##0.0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numFmt formatCode="&quot;£&quot;#,##0.0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5.7830586350051581E-2"/>
          <c:y val="2.6736235871428718E-2"/>
          <c:w val="0.91756029388415972"/>
          <c:h val="0.85883068022069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Sheet7!$B$3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882F8BB-A37A-4D20-859B-85D852B0F207}" type="VALUE">
                      <a:rPr lang="en-US"/>
                      <a:pPr/>
                      <a:t>[VALUE]</a:t>
                    </a:fld>
                    <a:r>
                      <a:rPr lang="en-US"/>
                      <a:t>m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77E-4B5E-B932-D827E0AF3EB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307894E-B93F-4645-BFFD-D86831AB1073}" type="VALUE">
                      <a:rPr lang="en-US"/>
                      <a:pPr/>
                      <a:t>[VALUE]</a:t>
                    </a:fld>
                    <a:r>
                      <a:rPr lang="en-US"/>
                      <a:t>m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77E-4B5E-B932-D827E0AF3EB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56991E7-2121-40F1-8DF7-000D70BFF9A9}" type="VALUE">
                      <a:rPr lang="en-US"/>
                      <a:pPr/>
                      <a:t>[VALUE]</a:t>
                    </a:fld>
                    <a:r>
                      <a:rPr lang="en-US"/>
                      <a:t>m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77E-4B5E-B932-D827E0AF3EB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863B0A5-5EB1-434C-AD75-D66004F8EF61}" type="VALUE">
                      <a:rPr lang="en-US"/>
                      <a:pPr/>
                      <a:t>[VALUE]</a:t>
                    </a:fld>
                    <a:r>
                      <a:rPr lang="en-US"/>
                      <a:t>m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77E-4B5E-B932-D827E0AF3EB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A4F84188-C470-4D43-8F74-D3820C931351}" type="VALUE">
                      <a:rPr lang="en-US"/>
                      <a:pPr/>
                      <a:t>[VALUE]</a:t>
                    </a:fld>
                    <a:r>
                      <a:rPr lang="en-US"/>
                      <a:t>m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77E-4B5E-B932-D827E0AF3EB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5385351-55E3-4FFC-AA95-9AB363A81F18}" type="VALUE">
                      <a:rPr lang="en-US"/>
                      <a:pPr/>
                      <a:t>[VALUE]</a:t>
                    </a:fld>
                    <a:r>
                      <a:rPr lang="en-US"/>
                      <a:t>m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77E-4B5E-B932-D827E0AF3EB6}"/>
                </c:ext>
              </c:extLst>
            </c:dLbl>
            <c:numFmt formatCode="&quot;£&quot;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Sheet7!$A$4:$A$9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Sheet7!$B$4:$B$9</c:f>
              <c:numCache>
                <c:formatCode>General</c:formatCode>
                <c:ptCount val="5"/>
                <c:pt idx="0">
                  <c:v>1.1000000000000001</c:v>
                </c:pt>
                <c:pt idx="1">
                  <c:v>3.5</c:v>
                </c:pt>
                <c:pt idx="2">
                  <c:v>1.4</c:v>
                </c:pt>
                <c:pt idx="3">
                  <c:v>1.2</c:v>
                </c:pt>
                <c:pt idx="4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7E-4B5E-B932-D827E0AF3E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8100239"/>
        <c:axId val="2028101071"/>
      </c:barChart>
      <c:catAx>
        <c:axId val="2028100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8101071"/>
        <c:crosses val="autoZero"/>
        <c:auto val="1"/>
        <c:lblAlgn val="ctr"/>
        <c:lblOffset val="100"/>
        <c:noMultiLvlLbl val="0"/>
      </c:catAx>
      <c:valAx>
        <c:axId val="2028101071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Amount funded (£m)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2028100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Custom 1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ED71A8"/>
    </a:accent1>
    <a:accent2>
      <a:srgbClr val="C7047E"/>
    </a:accent2>
    <a:accent3>
      <a:srgbClr val="770B4B"/>
    </a:accent3>
    <a:accent4>
      <a:srgbClr val="3E0020"/>
    </a:accent4>
    <a:accent5>
      <a:srgbClr val="000000"/>
    </a:accent5>
    <a:accent6>
      <a:srgbClr val="770B4B"/>
    </a:accent6>
    <a:hlink>
      <a:srgbClr val="770B4B"/>
    </a:hlink>
    <a:folHlink>
      <a:srgbClr val="770B4B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Custom 1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ED71A8"/>
    </a:accent1>
    <a:accent2>
      <a:srgbClr val="C7047E"/>
    </a:accent2>
    <a:accent3>
      <a:srgbClr val="770B4B"/>
    </a:accent3>
    <a:accent4>
      <a:srgbClr val="3E0020"/>
    </a:accent4>
    <a:accent5>
      <a:srgbClr val="000000"/>
    </a:accent5>
    <a:accent6>
      <a:srgbClr val="770B4B"/>
    </a:accent6>
    <a:hlink>
      <a:srgbClr val="770B4B"/>
    </a:hlink>
    <a:folHlink>
      <a:srgbClr val="770B4B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Custom 1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ED71A8"/>
    </a:accent1>
    <a:accent2>
      <a:srgbClr val="C7047E"/>
    </a:accent2>
    <a:accent3>
      <a:srgbClr val="770B4B"/>
    </a:accent3>
    <a:accent4>
      <a:srgbClr val="3E0020"/>
    </a:accent4>
    <a:accent5>
      <a:srgbClr val="000000"/>
    </a:accent5>
    <a:accent6>
      <a:srgbClr val="770B4B"/>
    </a:accent6>
    <a:hlink>
      <a:srgbClr val="770B4B"/>
    </a:hlink>
    <a:folHlink>
      <a:srgbClr val="770B4B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B5EDB9AF30049BA9235DA3D725854" ma:contentTypeVersion="13" ma:contentTypeDescription="Create a new document." ma:contentTypeScope="" ma:versionID="e257388852dd7c999f371cc377f19b6a">
  <xsd:schema xmlns:xsd="http://www.w3.org/2001/XMLSchema" xmlns:xs="http://www.w3.org/2001/XMLSchema" xmlns:p="http://schemas.microsoft.com/office/2006/metadata/properties" xmlns:ns2="1d3e7ae0-a111-4f7f-b0e8-274c401a14d2" xmlns:ns3="bec6d8a1-fcfc-49f1-a6de-fcb0feaf700a" targetNamespace="http://schemas.microsoft.com/office/2006/metadata/properties" ma:root="true" ma:fieldsID="5f5adc9425020729dff952d59df383fe" ns2:_="" ns3:_="">
    <xsd:import namespace="1d3e7ae0-a111-4f7f-b0e8-274c401a14d2"/>
    <xsd:import namespace="bec6d8a1-fcfc-49f1-a6de-fcb0feaf7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e7ae0-a111-4f7f-b0e8-274c401a1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6d8a1-fcfc-49f1-a6de-fcb0feaf7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A094E-3EC2-4320-A6CF-404913936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014D54-B126-4390-9925-72B85831C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e7ae0-a111-4f7f-b0e8-274c401a14d2"/>
    <ds:schemaRef ds:uri="bec6d8a1-fcfc-49f1-a6de-fcb0feaf7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1C661-6505-4EF1-9943-0AD28B31FF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C667F1-F0D8-422E-A02F-E26579FC1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Perry</dc:creator>
  <cp:keywords/>
  <dc:description/>
  <cp:lastModifiedBy>Grace Perry</cp:lastModifiedBy>
  <cp:revision>60</cp:revision>
  <dcterms:created xsi:type="dcterms:W3CDTF">2021-11-16T08:56:00Z</dcterms:created>
  <dcterms:modified xsi:type="dcterms:W3CDTF">2021-11-24T18:56:00Z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0x0101006A9B5EDB9AF30049BA9235DA3D725854</vt:lpwstr>
  </property>
</Properties>
</file>